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EC" w:rsidRDefault="00C921F4" w:rsidP="000022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DICASTERO</w:t>
      </w:r>
      <w:r w:rsidR="000022EC">
        <w:rPr>
          <w:rFonts w:ascii="Times New Roman" w:hAnsi="Times New Roman"/>
          <w:b/>
          <w:sz w:val="28"/>
          <w:szCs w:val="28"/>
        </w:rPr>
        <w:t xml:space="preserve"> PER LE CHIESE ORIENTALI</w:t>
      </w:r>
    </w:p>
    <w:p w:rsidR="000022EC" w:rsidRDefault="000022EC" w:rsidP="000022EC">
      <w:pPr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202</w:t>
      </w:r>
      <w:r w:rsidR="00362C7F">
        <w:rPr>
          <w:rFonts w:ascii="Times New Roman" w:hAnsi="Times New Roman"/>
          <w:b/>
          <w:sz w:val="28"/>
          <w:szCs w:val="28"/>
        </w:rPr>
        <w:t>2</w:t>
      </w:r>
    </w:p>
    <w:p w:rsidR="000022EC" w:rsidRDefault="000022EC" w:rsidP="000022E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Introduzione</w:t>
      </w:r>
    </w:p>
    <w:p w:rsidR="00001C57" w:rsidRPr="00C921F4" w:rsidRDefault="00001C57" w:rsidP="00C921F4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921F4">
        <w:rPr>
          <w:rFonts w:ascii="Times New Roman" w:hAnsi="Times New Roman"/>
        </w:rPr>
        <w:t>La</w:t>
      </w:r>
      <w:r w:rsidRPr="00C921F4">
        <w:rPr>
          <w:rFonts w:ascii="Times New Roman" w:hAnsi="Times New Roman"/>
          <w:bCs/>
        </w:rPr>
        <w:t xml:space="preserve"> “Colletta per la Terra Santa” </w:t>
      </w:r>
      <w:r w:rsidR="00C921F4" w:rsidRPr="00C921F4">
        <w:rPr>
          <w:rFonts w:ascii="Times New Roman" w:hAnsi="Times New Roman"/>
        </w:rPr>
        <w:t>nasce dalla volontà dei Pontefici</w:t>
      </w:r>
      <w:r w:rsidRPr="00C921F4">
        <w:rPr>
          <w:rFonts w:ascii="Times New Roman" w:hAnsi="Times New Roman"/>
        </w:rPr>
        <w:t xml:space="preserve"> di mantenere forte il legame tra tutti i Cristiani del mondo e i Luoghi Santi. È</w:t>
      </w:r>
      <w:r w:rsidRPr="00C921F4">
        <w:rPr>
          <w:rFonts w:ascii="Times New Roman" w:hAnsi="Times New Roman"/>
          <w:bCs/>
        </w:rPr>
        <w:t xml:space="preserve"> la fonte principale per il sostentamento della vita che si svolge intorno ai Luoghi Santi e lo strumento che la Chiesa si è data per mettersi a fianco delle comunità ecclesiali del Medio Oriente. Nei tempi più recenti, Papa Paolo VI, attraverso l’Esortazione Apostolica ‘</w:t>
      </w:r>
      <w:proofErr w:type="spellStart"/>
      <w:r w:rsidRPr="00C921F4">
        <w:rPr>
          <w:rFonts w:ascii="Times New Roman" w:hAnsi="Times New Roman"/>
          <w:bCs/>
        </w:rPr>
        <w:t>Nobis</w:t>
      </w:r>
      <w:proofErr w:type="spellEnd"/>
      <w:r w:rsidRPr="00C921F4">
        <w:rPr>
          <w:rFonts w:ascii="Times New Roman" w:hAnsi="Times New Roman"/>
          <w:bCs/>
        </w:rPr>
        <w:t xml:space="preserve"> in </w:t>
      </w:r>
      <w:proofErr w:type="spellStart"/>
      <w:r w:rsidRPr="00C921F4">
        <w:rPr>
          <w:rFonts w:ascii="Times New Roman" w:hAnsi="Times New Roman"/>
          <w:bCs/>
        </w:rPr>
        <w:t>Animo’</w:t>
      </w:r>
      <w:proofErr w:type="spellEnd"/>
      <w:r w:rsidRPr="00C921F4">
        <w:rPr>
          <w:rFonts w:ascii="Times New Roman" w:hAnsi="Times New Roman"/>
          <w:bCs/>
        </w:rPr>
        <w:t xml:space="preserve"> (25 marzo 1974), diede una spinta decisiva in favore della Terra Santa, da Lui visitata nell</w:t>
      </w:r>
      <w:r w:rsidR="00C921F4" w:rsidRPr="00C921F4">
        <w:rPr>
          <w:rFonts w:ascii="Times New Roman" w:hAnsi="Times New Roman"/>
          <w:bCs/>
        </w:rPr>
        <w:t>o storico pellegrinaggio del 196</w:t>
      </w:r>
      <w:r w:rsidRPr="00C921F4">
        <w:rPr>
          <w:rFonts w:ascii="Times New Roman" w:hAnsi="Times New Roman"/>
          <w:bCs/>
        </w:rPr>
        <w:t>4.</w:t>
      </w:r>
    </w:p>
    <w:p w:rsidR="00001C57" w:rsidRPr="00C921F4" w:rsidRDefault="00001C57" w:rsidP="00C921F4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921F4">
        <w:rPr>
          <w:rFonts w:ascii="Times New Roman" w:hAnsi="Times New Roman"/>
        </w:rPr>
        <w:t>L</w:t>
      </w:r>
      <w:r w:rsidRPr="00C921F4">
        <w:rPr>
          <w:rFonts w:ascii="Times New Roman" w:hAnsi="Times New Roman"/>
          <w:iCs/>
        </w:rPr>
        <w:t>a Custodia Francescana attraverso la Colletta può sostenere e portare avanti l’importante missione a cui è chiamata: custodire i Luoghi Santi, le pietre della memoria, e favorire la presenza cristiana, le pietre vive di Terra Santa, attraverso tante attività di solidarietà, come ad esempio il mantenimento delle strutture pastorali, educative, assistenziali, sanitarie e sociali.</w:t>
      </w:r>
    </w:p>
    <w:p w:rsidR="00001C57" w:rsidRPr="00C921F4" w:rsidRDefault="00001C57" w:rsidP="00C921F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921F4">
        <w:rPr>
          <w:rFonts w:ascii="Times New Roman" w:hAnsi="Times New Roman"/>
        </w:rPr>
        <w:t xml:space="preserve">I territori che beneficiano sotto diverse forme di un sostegno proveniente dalla Colletta sono i seguenti: Gerusalemme, Palestina, Israele, Giordania, Cipro, Siria, Libano, Egitto, Etiopia, Eritrea, Turchia, Iran e Iraq. </w:t>
      </w:r>
    </w:p>
    <w:p w:rsidR="00001C57" w:rsidRPr="00C921F4" w:rsidRDefault="00001C57" w:rsidP="00C921F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921F4">
        <w:rPr>
          <w:rFonts w:ascii="Times New Roman" w:hAnsi="Times New Roman"/>
        </w:rPr>
        <w:t>Di norma, la Custodia di Terra Santa riceve il 65% della Colletta</w:t>
      </w:r>
      <w:r w:rsidR="00C921F4" w:rsidRPr="00C921F4">
        <w:rPr>
          <w:rFonts w:ascii="Times New Roman" w:hAnsi="Times New Roman"/>
        </w:rPr>
        <w:t>, mentre il restante 35% va al</w:t>
      </w:r>
      <w:r w:rsidRPr="00C921F4">
        <w:rPr>
          <w:rFonts w:ascii="Times New Roman" w:hAnsi="Times New Roman"/>
        </w:rPr>
        <w:t xml:space="preserve"> </w:t>
      </w:r>
      <w:r w:rsidR="00C921F4" w:rsidRPr="00C921F4">
        <w:rPr>
          <w:rFonts w:ascii="Times New Roman" w:hAnsi="Times New Roman"/>
        </w:rPr>
        <w:t>Dicastero</w:t>
      </w:r>
      <w:r w:rsidRPr="00C921F4">
        <w:rPr>
          <w:rFonts w:ascii="Times New Roman" w:hAnsi="Times New Roman"/>
        </w:rPr>
        <w:t xml:space="preserve"> per le Chiese Orientali, che lo utilizza per la formazione dei candidati al sacerdozio, il sostentamento del clero, l’attività scolastica, la formazione culturale e i sussidi alle diverse circoscrizioni ecclesiastiche in Medio Oriente.</w:t>
      </w:r>
    </w:p>
    <w:p w:rsidR="000022EC" w:rsidRPr="00C921F4" w:rsidRDefault="000022EC" w:rsidP="00C921F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921F4">
        <w:rPr>
          <w:rFonts w:ascii="Times New Roman" w:hAnsi="Times New Roman"/>
        </w:rPr>
        <w:t xml:space="preserve">In sintesi riportiamo quanto </w:t>
      </w:r>
      <w:r w:rsidR="00C921F4" w:rsidRPr="00C921F4">
        <w:rPr>
          <w:rFonts w:ascii="Times New Roman" w:hAnsi="Times New Roman"/>
        </w:rPr>
        <w:t>il Dicastero</w:t>
      </w:r>
      <w:r w:rsidR="00F87F6E" w:rsidRPr="00C921F4">
        <w:rPr>
          <w:rFonts w:ascii="Times New Roman" w:hAnsi="Times New Roman"/>
        </w:rPr>
        <w:t xml:space="preserve"> ha ricevuto nel 202</w:t>
      </w:r>
      <w:r w:rsidR="00362C7F" w:rsidRPr="00C921F4">
        <w:rPr>
          <w:rFonts w:ascii="Times New Roman" w:hAnsi="Times New Roman"/>
        </w:rPr>
        <w:t>2</w:t>
      </w:r>
      <w:r w:rsidRPr="00C921F4">
        <w:rPr>
          <w:rFonts w:ascii="Times New Roman" w:hAnsi="Times New Roman"/>
        </w:rPr>
        <w:t xml:space="preserve"> e come è stato distribuito:</w:t>
      </w:r>
    </w:p>
    <w:p w:rsidR="000022EC" w:rsidRPr="00C921F4" w:rsidRDefault="000022EC" w:rsidP="00C921F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530"/>
      </w:tblGrid>
      <w:tr w:rsidR="000022EC" w:rsidRPr="00C921F4" w:rsidTr="000022E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Le offerte pervenute nell’anno 202</w:t>
            </w:r>
            <w:r w:rsidR="00AE1E36" w:rsidRPr="00C921F4">
              <w:rPr>
                <w:rFonts w:ascii="Times New Roman" w:hAnsi="Times New Roman"/>
              </w:rPr>
              <w:t>2</w:t>
            </w:r>
            <w:r w:rsidRPr="00C921F4">
              <w:rPr>
                <w:rFonts w:ascii="Times New Roman" w:hAnsi="Times New Roman"/>
              </w:rPr>
              <w:t xml:space="preserve"> per la Colletta di Terra Santa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C921F4" w:rsidRPr="00C921F4">
              <w:rPr>
                <w:rFonts w:ascii="Times New Roman" w:hAnsi="Times New Roman"/>
              </w:rPr>
              <w:t>9</w:t>
            </w:r>
            <w:r w:rsidR="00AE1E36" w:rsidRPr="00C921F4">
              <w:rPr>
                <w:rFonts w:ascii="Times New Roman" w:hAnsi="Times New Roman"/>
              </w:rPr>
              <w:t>.</w:t>
            </w:r>
            <w:r w:rsidR="00C921F4" w:rsidRPr="00C921F4">
              <w:rPr>
                <w:rFonts w:ascii="Times New Roman" w:hAnsi="Times New Roman"/>
              </w:rPr>
              <w:t>043.319</w:t>
            </w:r>
          </w:p>
        </w:tc>
      </w:tr>
    </w:tbl>
    <w:p w:rsidR="000022EC" w:rsidRPr="00C921F4" w:rsidRDefault="000022EC" w:rsidP="00C921F4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0022EC" w:rsidRPr="00C921F4" w:rsidRDefault="000022EC" w:rsidP="00C921F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921F4">
        <w:rPr>
          <w:rFonts w:ascii="Times New Roman" w:hAnsi="Times New Roman"/>
          <w:b/>
          <w:u w:val="single"/>
        </w:rPr>
        <w:t>Formazione Accademica, Spirituale e Umana dei Seminaristi e Sacerdoti delle Chiese poste sotto la giurisdizione della Congregazione per le Chiese Orientali</w:t>
      </w:r>
    </w:p>
    <w:p w:rsidR="000022EC" w:rsidRPr="00C921F4" w:rsidRDefault="000022EC" w:rsidP="00C921F4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0022EC" w:rsidRPr="00C921F4" w:rsidRDefault="000022EC" w:rsidP="00C921F4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C921F4">
        <w:rPr>
          <w:rFonts w:ascii="Times New Roman" w:hAnsi="Times New Roman"/>
        </w:rPr>
        <w:t xml:space="preserve">Grazie alla Colletta si può provvedere a devolvere contributi ai seminari, alle case di formazione religiosa e istituzioni culturali nei territori di competenza, sostenendo sotto varie forme (borse di studio, tasse universitarie e ogni altra necessità sanitaria) anche a Roma, giovani seminaristi e sacerdoti, religiosi e religiose e, compatibilmente con i fondi disponibili, alcuni laici. Il collegio aperto </w:t>
      </w:r>
      <w:r w:rsidR="00AE1E36" w:rsidRPr="00C921F4">
        <w:rPr>
          <w:rFonts w:ascii="Times New Roman" w:hAnsi="Times New Roman"/>
        </w:rPr>
        <w:t>cinque</w:t>
      </w:r>
      <w:r w:rsidRPr="00C921F4">
        <w:rPr>
          <w:rFonts w:ascii="Times New Roman" w:hAnsi="Times New Roman"/>
        </w:rPr>
        <w:t xml:space="preserve"> anni fa per ospitare le religiose che provengono da diversi paesi orientali, accoglie quest’anno </w:t>
      </w:r>
      <w:r w:rsidR="00001C57" w:rsidRPr="00C921F4">
        <w:rPr>
          <w:rFonts w:ascii="Times New Roman" w:hAnsi="Times New Roman"/>
        </w:rPr>
        <w:t>27</w:t>
      </w:r>
      <w:r w:rsidR="00C921F4">
        <w:rPr>
          <w:rFonts w:ascii="Times New Roman" w:hAnsi="Times New Roman"/>
        </w:rPr>
        <w:t xml:space="preserve"> </w:t>
      </w:r>
      <w:r w:rsidR="00460974">
        <w:rPr>
          <w:rFonts w:ascii="Times New Roman" w:hAnsi="Times New Roman"/>
        </w:rPr>
        <w:t>consacrate</w:t>
      </w:r>
      <w:r w:rsidR="00C921F4">
        <w:rPr>
          <w:rFonts w:ascii="Times New Roman" w:hAnsi="Times New Roman"/>
        </w:rPr>
        <w:t>,</w:t>
      </w:r>
      <w:r w:rsidRPr="00C921F4">
        <w:rPr>
          <w:rFonts w:ascii="Times New Roman" w:hAnsi="Times New Roman"/>
        </w:rPr>
        <w:t xml:space="preserve"> </w:t>
      </w:r>
      <w:r w:rsidR="00C921F4">
        <w:rPr>
          <w:rFonts w:ascii="Times New Roman" w:hAnsi="Times New Roman"/>
        </w:rPr>
        <w:t xml:space="preserve">su un totale di </w:t>
      </w:r>
      <w:r w:rsidR="00001C57" w:rsidRPr="00C921F4">
        <w:rPr>
          <w:rFonts w:ascii="Times New Roman" w:hAnsi="Times New Roman"/>
        </w:rPr>
        <w:t>252</w:t>
      </w:r>
      <w:r w:rsidR="00460974">
        <w:rPr>
          <w:rFonts w:ascii="Times New Roman" w:hAnsi="Times New Roman"/>
        </w:rPr>
        <w:t xml:space="preserve"> studenti</w:t>
      </w:r>
      <w:r w:rsidRPr="00C921F4">
        <w:rPr>
          <w:rFonts w:ascii="Times New Roman" w:hAnsi="Times New Roman"/>
        </w:rPr>
        <w:t xml:space="preserve">, che beneficiano della borsa di studio, ospiti in </w:t>
      </w:r>
      <w:r w:rsidR="00C921F4">
        <w:rPr>
          <w:rFonts w:ascii="Times New Roman" w:hAnsi="Times New Roman"/>
        </w:rPr>
        <w:t xml:space="preserve">tutti e </w:t>
      </w:r>
      <w:r w:rsidRPr="00C921F4">
        <w:rPr>
          <w:rFonts w:ascii="Times New Roman" w:hAnsi="Times New Roman"/>
        </w:rPr>
        <w:t>7 collegi di competenza del Dicastero.</w:t>
      </w:r>
    </w:p>
    <w:p w:rsidR="000022EC" w:rsidRPr="00C921F4" w:rsidRDefault="00C921F4" w:rsidP="00C921F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va dimenticato il contributo </w:t>
      </w:r>
      <w:r w:rsidR="000022EC" w:rsidRPr="00C921F4">
        <w:rPr>
          <w:rFonts w:ascii="Times New Roman" w:hAnsi="Times New Roman"/>
        </w:rPr>
        <w:t>al sostentamento del Pontificio Istituto Orientale, istituzione accademica superiore con due facoltà, Scienze Ecclesiastiche Orientali e Diritto Canonico Orientale, di cui è Gran Cancelliere il Prefetto</w:t>
      </w:r>
      <w:r w:rsidR="0042673C">
        <w:rPr>
          <w:rFonts w:ascii="Times New Roman" w:hAnsi="Times New Roman"/>
        </w:rPr>
        <w:t>, come pure il sostegno al Comitato per la Collaborazione Culturale che sviluppa la sua attività in ambito ecumenico</w:t>
      </w:r>
      <w:r w:rsidR="000022EC" w:rsidRPr="00C921F4">
        <w:rPr>
          <w:rFonts w:ascii="Times New Roman" w:hAnsi="Times New Roman"/>
        </w:rPr>
        <w:t xml:space="preserve">. </w:t>
      </w:r>
    </w:p>
    <w:p w:rsidR="000022EC" w:rsidRPr="00C921F4" w:rsidRDefault="000022EC" w:rsidP="00C921F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963"/>
      </w:tblGrid>
      <w:tr w:rsidR="000022EC" w:rsidRPr="00C921F4" w:rsidTr="000022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Formazione dei seminaristi, sacerdoti e suore a Roma, Mantenimento dei Collegi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2EC" w:rsidRPr="00C921F4" w:rsidRDefault="000022EC" w:rsidP="0042673C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42673C">
              <w:rPr>
                <w:rFonts w:ascii="Times New Roman" w:hAnsi="Times New Roman"/>
              </w:rPr>
              <w:t>3</w:t>
            </w:r>
            <w:r w:rsidR="00AE1E36" w:rsidRPr="00C921F4">
              <w:rPr>
                <w:rFonts w:ascii="Times New Roman" w:hAnsi="Times New Roman"/>
              </w:rPr>
              <w:t>.</w:t>
            </w:r>
            <w:r w:rsidR="0042673C">
              <w:rPr>
                <w:rFonts w:ascii="Times New Roman" w:hAnsi="Times New Roman"/>
              </w:rPr>
              <w:t>00</w:t>
            </w:r>
            <w:r w:rsidR="00AE1E36" w:rsidRPr="00C921F4">
              <w:rPr>
                <w:rFonts w:ascii="Times New Roman" w:hAnsi="Times New Roman"/>
              </w:rPr>
              <w:t xml:space="preserve">0.000,00 </w:t>
            </w:r>
          </w:p>
        </w:tc>
      </w:tr>
      <w:tr w:rsidR="000022EC" w:rsidRPr="00C921F4" w:rsidTr="000022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Pontificio Istituto Orientale (PIO)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AE1E36" w:rsidRPr="00C921F4">
              <w:rPr>
                <w:rFonts w:ascii="Times New Roman" w:hAnsi="Times New Roman"/>
              </w:rPr>
              <w:t>1.066.600,00</w:t>
            </w:r>
          </w:p>
        </w:tc>
      </w:tr>
      <w:tr w:rsidR="000022EC" w:rsidRPr="00C921F4" w:rsidTr="000022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Sussidi straordinari per la collaborazione culturale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US$       50.000,00</w:t>
            </w:r>
          </w:p>
        </w:tc>
      </w:tr>
      <w:tr w:rsidR="000022EC" w:rsidRPr="00C921F4" w:rsidTr="000022E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21F4">
              <w:rPr>
                <w:rFonts w:ascii="Times New Roman" w:hAnsi="Times New Roman"/>
                <w:b/>
              </w:rPr>
              <w:t>Totale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AE1E36" w:rsidP="00C921F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921F4">
              <w:rPr>
                <w:rFonts w:ascii="Times New Roman" w:hAnsi="Times New Roman"/>
                <w:b/>
              </w:rPr>
              <w:t xml:space="preserve">US$  </w:t>
            </w:r>
            <w:r w:rsidR="0042673C">
              <w:rPr>
                <w:rFonts w:ascii="Times New Roman" w:hAnsi="Times New Roman"/>
                <w:b/>
              </w:rPr>
              <w:t>4.11</w:t>
            </w:r>
            <w:r w:rsidRPr="00C921F4">
              <w:rPr>
                <w:rFonts w:ascii="Times New Roman" w:hAnsi="Times New Roman"/>
                <w:b/>
              </w:rPr>
              <w:t>6.600,00</w:t>
            </w:r>
            <w:r w:rsidR="000022EC" w:rsidRPr="00C921F4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022EC" w:rsidRPr="00C921F4" w:rsidRDefault="000022EC" w:rsidP="00C921F4">
      <w:pPr>
        <w:spacing w:line="240" w:lineRule="auto"/>
        <w:rPr>
          <w:rFonts w:ascii="Times New Roman" w:hAnsi="Times New Roman"/>
          <w:b/>
          <w:u w:val="single"/>
        </w:rPr>
      </w:pPr>
    </w:p>
    <w:p w:rsidR="000022EC" w:rsidRPr="00C921F4" w:rsidRDefault="000022EC" w:rsidP="00C921F4">
      <w:pPr>
        <w:spacing w:line="240" w:lineRule="auto"/>
        <w:rPr>
          <w:rFonts w:ascii="Times New Roman" w:hAnsi="Times New Roman"/>
          <w:b/>
          <w:u w:val="single"/>
        </w:rPr>
      </w:pPr>
      <w:r w:rsidRPr="00C921F4">
        <w:rPr>
          <w:rFonts w:ascii="Times New Roman" w:hAnsi="Times New Roman"/>
          <w:b/>
          <w:u w:val="single"/>
        </w:rPr>
        <w:t>Sussidi per l’attività Scolastica</w:t>
      </w:r>
    </w:p>
    <w:p w:rsidR="000022EC" w:rsidRPr="00C921F4" w:rsidRDefault="000022EC" w:rsidP="002B3F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921F4">
        <w:rPr>
          <w:rFonts w:ascii="Times New Roman" w:hAnsi="Times New Roman"/>
        </w:rPr>
        <w:t>La Diocesi Patriarcale di Gerusalemme</w:t>
      </w:r>
      <w:r w:rsidR="002B3F9F">
        <w:rPr>
          <w:rFonts w:ascii="Times New Roman" w:hAnsi="Times New Roman"/>
        </w:rPr>
        <w:t xml:space="preserve"> dei Latini</w:t>
      </w:r>
      <w:r w:rsidRPr="00C921F4">
        <w:rPr>
          <w:rFonts w:ascii="Times New Roman" w:hAnsi="Times New Roman"/>
        </w:rPr>
        <w:t xml:space="preserve">, la Custodia Francescana, </w:t>
      </w:r>
      <w:r w:rsidR="002B3F9F">
        <w:rPr>
          <w:rFonts w:ascii="Times New Roman" w:hAnsi="Times New Roman"/>
        </w:rPr>
        <w:t xml:space="preserve">oltre </w:t>
      </w:r>
      <w:r w:rsidR="00460974">
        <w:rPr>
          <w:rFonts w:ascii="Times New Roman" w:hAnsi="Times New Roman"/>
        </w:rPr>
        <w:t>alle altre</w:t>
      </w:r>
      <w:r w:rsidRPr="00C921F4">
        <w:rPr>
          <w:rFonts w:ascii="Times New Roman" w:hAnsi="Times New Roman"/>
        </w:rPr>
        <w:t xml:space="preserve"> Chiese e gli Istituti Religiosi sono impegnati per la formazione scolastica dei giovani della Terra Santa</w:t>
      </w:r>
      <w:r w:rsidR="002B3F9F">
        <w:rPr>
          <w:rFonts w:ascii="Times New Roman" w:hAnsi="Times New Roman"/>
        </w:rPr>
        <w:t xml:space="preserve">, ed insieme al </w:t>
      </w:r>
      <w:r w:rsidRPr="00C921F4">
        <w:rPr>
          <w:rFonts w:ascii="Times New Roman" w:hAnsi="Times New Roman"/>
        </w:rPr>
        <w:t xml:space="preserve">Segretariato di Solidarietà </w:t>
      </w:r>
      <w:r w:rsidR="002B3F9F">
        <w:rPr>
          <w:rFonts w:ascii="Times New Roman" w:hAnsi="Times New Roman"/>
        </w:rPr>
        <w:t>sono sostenuti dai proventi della Colletta.</w:t>
      </w:r>
    </w:p>
    <w:p w:rsidR="000022EC" w:rsidRPr="00C921F4" w:rsidRDefault="000022EC" w:rsidP="00C921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921F4">
        <w:rPr>
          <w:rFonts w:ascii="Times New Roman" w:hAnsi="Times New Roman"/>
        </w:rPr>
        <w:t xml:space="preserve">Una tra le prestigiose fondazioni che assicura la formazione accademica è la </w:t>
      </w:r>
      <w:proofErr w:type="spellStart"/>
      <w:r w:rsidRPr="00C921F4">
        <w:rPr>
          <w:rFonts w:ascii="Times New Roman" w:hAnsi="Times New Roman"/>
        </w:rPr>
        <w:t>Bethlehem</w:t>
      </w:r>
      <w:proofErr w:type="spellEnd"/>
      <w:r w:rsidRPr="00C921F4">
        <w:rPr>
          <w:rFonts w:ascii="Times New Roman" w:hAnsi="Times New Roman"/>
        </w:rPr>
        <w:t xml:space="preserve"> </w:t>
      </w:r>
      <w:proofErr w:type="spellStart"/>
      <w:r w:rsidRPr="00C921F4">
        <w:rPr>
          <w:rFonts w:ascii="Times New Roman" w:hAnsi="Times New Roman"/>
        </w:rPr>
        <w:t>University</w:t>
      </w:r>
      <w:proofErr w:type="spellEnd"/>
      <w:r w:rsidRPr="00C921F4">
        <w:rPr>
          <w:rFonts w:ascii="Times New Roman" w:hAnsi="Times New Roman"/>
        </w:rPr>
        <w:t>. Quasi 3300 giovani, musulmani</w:t>
      </w:r>
      <w:r w:rsidR="00F87F6E" w:rsidRPr="00C921F4">
        <w:rPr>
          <w:rFonts w:ascii="Times New Roman" w:hAnsi="Times New Roman"/>
        </w:rPr>
        <w:t xml:space="preserve"> e cristiani</w:t>
      </w:r>
      <w:r w:rsidRPr="00C921F4">
        <w:rPr>
          <w:rFonts w:ascii="Times New Roman" w:hAnsi="Times New Roman"/>
        </w:rPr>
        <w:t>, vengono formati intellettualmente e umanamente con la speranza di impegnarsi nella costruzione di un Paese dove regni rispetto reciproco e dove sia preservata la dignità umana. È apprezzabile l’impegno dei Fratelli de La Salle nella conduzione dell’Università.</w:t>
      </w:r>
    </w:p>
    <w:p w:rsidR="000022EC" w:rsidRPr="00C921F4" w:rsidRDefault="000022EC" w:rsidP="00C921F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45"/>
      </w:tblGrid>
      <w:tr w:rsidR="000022EC" w:rsidRPr="00C921F4" w:rsidTr="000022E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Segretariato di Solidarietà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921F4">
              <w:rPr>
                <w:rFonts w:ascii="Times New Roman" w:hAnsi="Times New Roman"/>
                <w:lang w:val="en-US"/>
              </w:rPr>
              <w:t xml:space="preserve">US$   </w:t>
            </w:r>
            <w:r w:rsidR="00AE1E36" w:rsidRPr="00C921F4">
              <w:rPr>
                <w:rFonts w:ascii="Times New Roman" w:hAnsi="Times New Roman"/>
                <w:lang w:val="en-US"/>
              </w:rPr>
              <w:t xml:space="preserve">1.054.400,00 </w:t>
            </w:r>
          </w:p>
        </w:tc>
      </w:tr>
      <w:tr w:rsidR="000022EC" w:rsidRPr="00C921F4" w:rsidTr="000022E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Scuole Patriarcato Latino di Gerusalemme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921F4">
              <w:rPr>
                <w:rFonts w:ascii="Times New Roman" w:hAnsi="Times New Roman"/>
                <w:lang w:val="en-US"/>
              </w:rPr>
              <w:t xml:space="preserve">US$  </w:t>
            </w:r>
            <w:r w:rsidR="001C152F" w:rsidRPr="00C921F4">
              <w:rPr>
                <w:rFonts w:ascii="Times New Roman" w:hAnsi="Times New Roman"/>
                <w:lang w:val="en-US"/>
              </w:rPr>
              <w:t xml:space="preserve">  </w:t>
            </w:r>
            <w:r w:rsidRPr="00C921F4">
              <w:rPr>
                <w:rFonts w:ascii="Times New Roman" w:hAnsi="Times New Roman"/>
                <w:lang w:val="en-US"/>
              </w:rPr>
              <w:t xml:space="preserve">  </w:t>
            </w:r>
            <w:r w:rsidR="00157A9D" w:rsidRPr="00C921F4">
              <w:rPr>
                <w:rFonts w:ascii="Times New Roman" w:hAnsi="Times New Roman"/>
                <w:lang w:val="en-US"/>
              </w:rPr>
              <w:t>900</w:t>
            </w:r>
            <w:r w:rsidR="001C152F" w:rsidRPr="00C921F4">
              <w:rPr>
                <w:rFonts w:ascii="Times New Roman" w:hAnsi="Times New Roman"/>
                <w:lang w:val="en-US"/>
              </w:rPr>
              <w:t>.000,</w:t>
            </w:r>
            <w:r w:rsidRPr="00C921F4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0022EC" w:rsidRPr="00C921F4" w:rsidTr="000022E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921F4">
              <w:rPr>
                <w:rFonts w:ascii="Times New Roman" w:hAnsi="Times New Roman"/>
                <w:lang w:val="en-US"/>
              </w:rPr>
              <w:t>Bethlehem University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921F4">
              <w:rPr>
                <w:rFonts w:ascii="Times New Roman" w:hAnsi="Times New Roman"/>
                <w:lang w:val="en-US"/>
              </w:rPr>
              <w:t xml:space="preserve">US$ </w:t>
            </w:r>
            <w:r w:rsidR="001C152F" w:rsidRPr="00C921F4">
              <w:rPr>
                <w:rFonts w:ascii="Times New Roman" w:hAnsi="Times New Roman"/>
                <w:lang w:val="en-US"/>
              </w:rPr>
              <w:t xml:space="preserve">  1.000.</w:t>
            </w:r>
            <w:r w:rsidRPr="00C921F4">
              <w:rPr>
                <w:rFonts w:ascii="Times New Roman" w:hAnsi="Times New Roman"/>
                <w:lang w:val="en-US"/>
              </w:rPr>
              <w:t>000</w:t>
            </w:r>
            <w:r w:rsidR="001C152F" w:rsidRPr="00C921F4">
              <w:rPr>
                <w:rFonts w:ascii="Times New Roman" w:hAnsi="Times New Roman"/>
                <w:lang w:val="en-US"/>
              </w:rPr>
              <w:t>,</w:t>
            </w:r>
            <w:r w:rsidRPr="00C921F4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0022EC" w:rsidRPr="00C921F4" w:rsidTr="000022E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921F4">
              <w:rPr>
                <w:rFonts w:ascii="Times New Roman" w:hAnsi="Times New Roman"/>
                <w:b/>
                <w:lang w:val="en-US"/>
              </w:rPr>
              <w:t>Totale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21F4">
              <w:rPr>
                <w:rFonts w:ascii="Times New Roman" w:hAnsi="Times New Roman"/>
                <w:lang w:val="en-US"/>
              </w:rPr>
              <w:t xml:space="preserve">US$  </w:t>
            </w:r>
            <w:r w:rsidR="001C152F" w:rsidRPr="00C921F4">
              <w:rPr>
                <w:rFonts w:ascii="Times New Roman" w:hAnsi="Times New Roman"/>
                <w:lang w:val="en-US"/>
              </w:rPr>
              <w:t xml:space="preserve"> </w:t>
            </w:r>
            <w:r w:rsidR="00AE1E36" w:rsidRPr="00C921F4">
              <w:rPr>
                <w:rFonts w:ascii="Times New Roman" w:hAnsi="Times New Roman"/>
                <w:lang w:val="en-US"/>
              </w:rPr>
              <w:t>2.954.400,00</w:t>
            </w:r>
          </w:p>
        </w:tc>
      </w:tr>
    </w:tbl>
    <w:p w:rsidR="000022EC" w:rsidRPr="00C921F4" w:rsidRDefault="000022EC" w:rsidP="00C921F4">
      <w:pPr>
        <w:spacing w:line="240" w:lineRule="auto"/>
        <w:rPr>
          <w:rFonts w:ascii="Times New Roman" w:hAnsi="Times New Roman"/>
          <w:b/>
          <w:u w:val="single"/>
        </w:rPr>
      </w:pPr>
    </w:p>
    <w:p w:rsidR="000022EC" w:rsidRPr="00C921F4" w:rsidRDefault="000022EC" w:rsidP="00C921F4">
      <w:pPr>
        <w:spacing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C921F4">
        <w:rPr>
          <w:rFonts w:ascii="Times New Roman" w:hAnsi="Times New Roman"/>
          <w:b/>
          <w:color w:val="000000" w:themeColor="text1"/>
          <w:u w:val="single"/>
        </w:rPr>
        <w:t>Sussidi Ordinari e Straordinari</w:t>
      </w:r>
    </w:p>
    <w:p w:rsidR="000022EC" w:rsidRPr="00C921F4" w:rsidRDefault="002B3F9F" w:rsidP="00C921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Il Dicastero </w:t>
      </w:r>
      <w:r w:rsidR="00460974">
        <w:rPr>
          <w:rFonts w:ascii="Times New Roman" w:hAnsi="Times New Roman"/>
          <w:color w:val="000000" w:themeColor="text1"/>
        </w:rPr>
        <w:t>sostiene</w:t>
      </w:r>
      <w:r w:rsidR="000022EC" w:rsidRPr="00C921F4">
        <w:rPr>
          <w:rFonts w:ascii="Times New Roman" w:hAnsi="Times New Roman"/>
          <w:color w:val="000000" w:themeColor="text1"/>
        </w:rPr>
        <w:t xml:space="preserve"> le Chiese poste sotto la sua competenza, con sussidi</w:t>
      </w:r>
      <w:r w:rsidR="00662231" w:rsidRPr="00C921F4">
        <w:rPr>
          <w:rFonts w:ascii="Times New Roman" w:hAnsi="Times New Roman"/>
          <w:color w:val="000000" w:themeColor="text1"/>
        </w:rPr>
        <w:t xml:space="preserve"> ordinari e straordinari</w:t>
      </w:r>
      <w:r w:rsidR="000022EC" w:rsidRPr="00C921F4">
        <w:rPr>
          <w:rFonts w:ascii="Times New Roman" w:hAnsi="Times New Roman"/>
          <w:color w:val="000000" w:themeColor="text1"/>
        </w:rPr>
        <w:t>, att</w:t>
      </w:r>
      <w:r>
        <w:rPr>
          <w:rFonts w:ascii="Times New Roman" w:hAnsi="Times New Roman"/>
          <w:color w:val="000000" w:themeColor="text1"/>
        </w:rPr>
        <w:t>inti dalla Colletta Terra Santa: e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ssi contribuiscono alla vita quotidiana di tutte le Circoscrizioni.</w:t>
      </w:r>
    </w:p>
    <w:p w:rsidR="004562E3" w:rsidRPr="00C921F4" w:rsidRDefault="00662231" w:rsidP="00C921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921F4">
        <w:rPr>
          <w:rFonts w:ascii="Times New Roman" w:hAnsi="Times New Roman"/>
          <w:color w:val="000000" w:themeColor="text1"/>
        </w:rPr>
        <w:t xml:space="preserve">Dopo 10 anni di guerra, il recente terremoto ha colpito </w:t>
      </w:r>
      <w:r w:rsidR="004562E3" w:rsidRPr="00C921F4">
        <w:rPr>
          <w:rFonts w:ascii="Times New Roman" w:hAnsi="Times New Roman"/>
          <w:color w:val="000000" w:themeColor="text1"/>
        </w:rPr>
        <w:t xml:space="preserve">duramente </w:t>
      </w:r>
      <w:r w:rsidRPr="00C921F4">
        <w:rPr>
          <w:rFonts w:ascii="Times New Roman" w:hAnsi="Times New Roman"/>
          <w:color w:val="000000" w:themeColor="text1"/>
        </w:rPr>
        <w:t xml:space="preserve">le regioni nord-occidentali </w:t>
      </w:r>
      <w:r w:rsidR="00BF32CB" w:rsidRPr="00C921F4">
        <w:rPr>
          <w:rFonts w:ascii="Times New Roman" w:hAnsi="Times New Roman"/>
          <w:color w:val="000000" w:themeColor="text1"/>
        </w:rPr>
        <w:t xml:space="preserve">della </w:t>
      </w:r>
      <w:r w:rsidRPr="00C921F4">
        <w:rPr>
          <w:rFonts w:ascii="Times New Roman" w:hAnsi="Times New Roman"/>
          <w:color w:val="000000" w:themeColor="text1"/>
        </w:rPr>
        <w:t>Siria</w:t>
      </w:r>
      <w:r w:rsidR="0034222F" w:rsidRPr="00C921F4">
        <w:rPr>
          <w:rFonts w:ascii="Times New Roman" w:hAnsi="Times New Roman"/>
          <w:color w:val="000000" w:themeColor="text1"/>
        </w:rPr>
        <w:t>,</w:t>
      </w:r>
      <w:r w:rsidRPr="00C921F4">
        <w:rPr>
          <w:rFonts w:ascii="Times New Roman" w:hAnsi="Times New Roman"/>
          <w:color w:val="000000" w:themeColor="text1"/>
        </w:rPr>
        <w:t xml:space="preserve"> con edifici crollati ad Aleppo, </w:t>
      </w:r>
      <w:proofErr w:type="spellStart"/>
      <w:r w:rsidRPr="00C921F4">
        <w:rPr>
          <w:rFonts w:ascii="Times New Roman" w:hAnsi="Times New Roman"/>
          <w:color w:val="000000" w:themeColor="text1"/>
        </w:rPr>
        <w:t>Lat</w:t>
      </w:r>
      <w:r w:rsidR="0034222F" w:rsidRPr="00C921F4">
        <w:rPr>
          <w:rFonts w:ascii="Times New Roman" w:hAnsi="Times New Roman"/>
          <w:color w:val="000000" w:themeColor="text1"/>
        </w:rPr>
        <w:t>t</w:t>
      </w:r>
      <w:r w:rsidRPr="00C921F4">
        <w:rPr>
          <w:rFonts w:ascii="Times New Roman" w:hAnsi="Times New Roman"/>
          <w:color w:val="000000" w:themeColor="text1"/>
        </w:rPr>
        <w:t>akia</w:t>
      </w:r>
      <w:proofErr w:type="spellEnd"/>
      <w:r w:rsidRPr="00C921F4">
        <w:rPr>
          <w:rFonts w:ascii="Times New Roman" w:hAnsi="Times New Roman"/>
          <w:color w:val="000000" w:themeColor="text1"/>
        </w:rPr>
        <w:t xml:space="preserve"> ed </w:t>
      </w:r>
      <w:proofErr w:type="spellStart"/>
      <w:r w:rsidRPr="00C921F4">
        <w:rPr>
          <w:rFonts w:ascii="Times New Roman" w:hAnsi="Times New Roman"/>
          <w:color w:val="000000" w:themeColor="text1"/>
        </w:rPr>
        <w:t>Idlib</w:t>
      </w:r>
      <w:proofErr w:type="spellEnd"/>
      <w:r w:rsidR="0034222F" w:rsidRPr="00C921F4">
        <w:rPr>
          <w:rFonts w:ascii="Times New Roman" w:hAnsi="Times New Roman"/>
          <w:color w:val="000000" w:themeColor="text1"/>
        </w:rPr>
        <w:t>,</w:t>
      </w:r>
      <w:r w:rsidRPr="00C921F4">
        <w:rPr>
          <w:rFonts w:ascii="Times New Roman" w:hAnsi="Times New Roman"/>
          <w:color w:val="000000" w:themeColor="text1"/>
        </w:rPr>
        <w:t xml:space="preserve"> </w:t>
      </w:r>
      <w:r w:rsidR="002B3F9F">
        <w:rPr>
          <w:rFonts w:ascii="Times New Roman" w:hAnsi="Times New Roman"/>
          <w:color w:val="000000" w:themeColor="text1"/>
        </w:rPr>
        <w:t xml:space="preserve">come anche </w:t>
      </w:r>
      <w:r w:rsidR="002B3F9F" w:rsidRPr="00C921F4">
        <w:rPr>
          <w:rFonts w:ascii="Times New Roman" w:hAnsi="Times New Roman"/>
          <w:color w:val="000000" w:themeColor="text1"/>
        </w:rPr>
        <w:t>le regioni meridionale e centrale della Turchia</w:t>
      </w:r>
      <w:r w:rsidR="002B3F9F">
        <w:rPr>
          <w:rFonts w:ascii="Times New Roman" w:hAnsi="Times New Roman"/>
          <w:color w:val="000000" w:themeColor="text1"/>
        </w:rPr>
        <w:t>,</w:t>
      </w:r>
      <w:r w:rsidR="002B3F9F" w:rsidRPr="00C921F4">
        <w:rPr>
          <w:rFonts w:ascii="Times New Roman" w:hAnsi="Times New Roman"/>
          <w:color w:val="000000" w:themeColor="text1"/>
        </w:rPr>
        <w:t xml:space="preserve"> </w:t>
      </w:r>
      <w:r w:rsidR="002B3F9F">
        <w:rPr>
          <w:rFonts w:ascii="Times New Roman" w:hAnsi="Times New Roman"/>
          <w:color w:val="000000" w:themeColor="text1"/>
        </w:rPr>
        <w:t>causando</w:t>
      </w:r>
      <w:r w:rsidR="00BF32CB" w:rsidRPr="00C921F4">
        <w:rPr>
          <w:rFonts w:ascii="Times New Roman" w:hAnsi="Times New Roman"/>
          <w:color w:val="000000" w:themeColor="text1"/>
        </w:rPr>
        <w:t xml:space="preserve"> la morte di </w:t>
      </w:r>
      <w:r w:rsidR="002B3F9F">
        <w:rPr>
          <w:rFonts w:ascii="Times New Roman" w:hAnsi="Times New Roman"/>
          <w:color w:val="000000" w:themeColor="text1"/>
        </w:rPr>
        <w:t>migliaia di</w:t>
      </w:r>
      <w:r w:rsidR="00BF32CB" w:rsidRPr="00C921F4">
        <w:rPr>
          <w:rFonts w:ascii="Times New Roman" w:hAnsi="Times New Roman"/>
          <w:color w:val="000000" w:themeColor="text1"/>
        </w:rPr>
        <w:t xml:space="preserve"> persone. Il viaggio intrapreso dal Prefetto in </w:t>
      </w:r>
      <w:r w:rsidR="004562E3" w:rsidRPr="00C921F4">
        <w:rPr>
          <w:rFonts w:ascii="Times New Roman" w:hAnsi="Times New Roman"/>
          <w:color w:val="000000" w:themeColor="text1"/>
        </w:rPr>
        <w:t>Siria</w:t>
      </w:r>
      <w:r w:rsidR="00BF32CB" w:rsidRPr="00C921F4">
        <w:rPr>
          <w:rFonts w:ascii="Times New Roman" w:hAnsi="Times New Roman"/>
          <w:color w:val="000000" w:themeColor="text1"/>
        </w:rPr>
        <w:t xml:space="preserve"> e Turchia una s</w:t>
      </w:r>
      <w:r w:rsidR="000A2BC0">
        <w:rPr>
          <w:rFonts w:ascii="Times New Roman" w:hAnsi="Times New Roman"/>
          <w:color w:val="000000" w:themeColor="text1"/>
        </w:rPr>
        <w:t>ettimana dopo l’accaduto è stata</w:t>
      </w:r>
      <w:r w:rsidR="00BF32CB" w:rsidRPr="00C921F4">
        <w:rPr>
          <w:rFonts w:ascii="Times New Roman" w:hAnsi="Times New Roman"/>
          <w:color w:val="000000" w:themeColor="text1"/>
        </w:rPr>
        <w:t xml:space="preserve"> un</w:t>
      </w:r>
      <w:r w:rsidR="000A2BC0">
        <w:rPr>
          <w:rFonts w:ascii="Times New Roman" w:hAnsi="Times New Roman"/>
          <w:color w:val="000000" w:themeColor="text1"/>
        </w:rPr>
        <w:t>a</w:t>
      </w:r>
      <w:r w:rsidR="00BF32CB" w:rsidRPr="00C921F4">
        <w:rPr>
          <w:rFonts w:ascii="Times New Roman" w:hAnsi="Times New Roman"/>
          <w:color w:val="000000" w:themeColor="text1"/>
        </w:rPr>
        <w:t xml:space="preserve"> o</w:t>
      </w:r>
      <w:r w:rsidR="000A2BC0">
        <w:rPr>
          <w:rFonts w:ascii="Times New Roman" w:hAnsi="Times New Roman"/>
          <w:color w:val="000000" w:themeColor="text1"/>
        </w:rPr>
        <w:t>ccasione</w:t>
      </w:r>
      <w:r w:rsidR="00BF32CB" w:rsidRPr="00C921F4">
        <w:rPr>
          <w:rFonts w:ascii="Times New Roman" w:hAnsi="Times New Roman"/>
          <w:color w:val="000000" w:themeColor="text1"/>
        </w:rPr>
        <w:t xml:space="preserve"> per dimostrare la vicinanza</w:t>
      </w:r>
      <w:r w:rsidR="0034222F" w:rsidRPr="00C921F4">
        <w:rPr>
          <w:rFonts w:ascii="Times New Roman" w:hAnsi="Times New Roman"/>
          <w:color w:val="000000" w:themeColor="text1"/>
        </w:rPr>
        <w:t>, affetto e preoccupazione</w:t>
      </w:r>
      <w:r w:rsidR="00BF32CB" w:rsidRPr="00C921F4">
        <w:rPr>
          <w:rFonts w:ascii="Times New Roman" w:hAnsi="Times New Roman"/>
          <w:color w:val="000000" w:themeColor="text1"/>
        </w:rPr>
        <w:t xml:space="preserve"> del Santo Padre alle popolazioni colpite </w:t>
      </w:r>
      <w:r w:rsidR="00B454DD" w:rsidRPr="00C921F4">
        <w:rPr>
          <w:rFonts w:ascii="Times New Roman" w:hAnsi="Times New Roman"/>
          <w:color w:val="000000" w:themeColor="text1"/>
        </w:rPr>
        <w:t>da</w:t>
      </w:r>
      <w:r w:rsidR="00BF32CB" w:rsidRPr="00C921F4">
        <w:rPr>
          <w:rFonts w:ascii="Times New Roman" w:hAnsi="Times New Roman"/>
          <w:color w:val="000000" w:themeColor="text1"/>
        </w:rPr>
        <w:t>lla calamità naturale</w:t>
      </w:r>
      <w:r w:rsidR="004562E3" w:rsidRPr="00C921F4">
        <w:rPr>
          <w:rFonts w:ascii="Times New Roman" w:hAnsi="Times New Roman"/>
          <w:color w:val="000000" w:themeColor="text1"/>
        </w:rPr>
        <w:t xml:space="preserve"> in entrambi i Paesi, </w:t>
      </w:r>
      <w:r w:rsidR="00BF32CB" w:rsidRPr="00C921F4">
        <w:rPr>
          <w:rFonts w:ascii="Times New Roman" w:hAnsi="Times New Roman"/>
          <w:color w:val="000000" w:themeColor="text1"/>
        </w:rPr>
        <w:t xml:space="preserve">rafforzare i vescovi, </w:t>
      </w:r>
      <w:r w:rsidR="00B454DD" w:rsidRPr="00C921F4">
        <w:rPr>
          <w:rFonts w:ascii="Times New Roman" w:hAnsi="Times New Roman"/>
          <w:color w:val="000000" w:themeColor="text1"/>
        </w:rPr>
        <w:t xml:space="preserve">i </w:t>
      </w:r>
      <w:r w:rsidR="00BF32CB" w:rsidRPr="00C921F4">
        <w:rPr>
          <w:rFonts w:ascii="Times New Roman" w:hAnsi="Times New Roman"/>
          <w:color w:val="000000" w:themeColor="text1"/>
        </w:rPr>
        <w:t>s</w:t>
      </w:r>
      <w:r w:rsidR="004562E3" w:rsidRPr="00C921F4">
        <w:rPr>
          <w:rFonts w:ascii="Times New Roman" w:hAnsi="Times New Roman"/>
          <w:color w:val="000000" w:themeColor="text1"/>
        </w:rPr>
        <w:t xml:space="preserve">acerdoti, operatori </w:t>
      </w:r>
      <w:r w:rsidR="00B454DD" w:rsidRPr="00C921F4">
        <w:rPr>
          <w:rFonts w:ascii="Times New Roman" w:hAnsi="Times New Roman"/>
          <w:color w:val="000000" w:themeColor="text1"/>
        </w:rPr>
        <w:t>caritativi</w:t>
      </w:r>
      <w:r w:rsidR="004562E3" w:rsidRPr="00C921F4">
        <w:rPr>
          <w:rFonts w:ascii="Times New Roman" w:hAnsi="Times New Roman"/>
          <w:color w:val="000000" w:themeColor="text1"/>
        </w:rPr>
        <w:t xml:space="preserve"> nonché per pianificare una prospettiva per il lavoro futuro di ristrutturazione e ricostruzione delle case, scuole, chiese e altre strutture danneggiate o distrutte nel terremoto</w:t>
      </w:r>
      <w:r w:rsidR="009924F9" w:rsidRPr="00C921F4">
        <w:rPr>
          <w:rFonts w:ascii="Times New Roman" w:hAnsi="Times New Roman"/>
          <w:color w:val="000000" w:themeColor="text1"/>
        </w:rPr>
        <w:t xml:space="preserve"> insieme alle Agenzie della ROACO</w:t>
      </w:r>
      <w:r w:rsidR="004562E3" w:rsidRPr="00C921F4">
        <w:rPr>
          <w:rFonts w:ascii="Times New Roman" w:hAnsi="Times New Roman"/>
          <w:color w:val="000000" w:themeColor="text1"/>
        </w:rPr>
        <w:t xml:space="preserve">. </w:t>
      </w:r>
    </w:p>
    <w:p w:rsidR="000022EC" w:rsidRPr="00C921F4" w:rsidRDefault="004562E3" w:rsidP="00C921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921F4">
        <w:rPr>
          <w:rFonts w:ascii="Times New Roman" w:hAnsi="Times New Roman"/>
        </w:rPr>
        <w:t>La guerra e ora il terremoto hanno lasciato persone che non hanno cibo, altre che non hanno cure mediche, ragazzi e giovani che non hanno scuola, e poi g</w:t>
      </w:r>
      <w:r w:rsidR="007A02FF" w:rsidRPr="00C921F4">
        <w:rPr>
          <w:rFonts w:ascii="Times New Roman" w:hAnsi="Times New Roman"/>
        </w:rPr>
        <w:t>li orfani, i feriti e le vedove senza nessuno a</w:t>
      </w:r>
      <w:r w:rsidR="00B454DD" w:rsidRPr="00C921F4">
        <w:rPr>
          <w:rFonts w:ascii="Times New Roman" w:hAnsi="Times New Roman"/>
        </w:rPr>
        <w:t>d</w:t>
      </w:r>
      <w:r w:rsidR="007A02FF" w:rsidRPr="00C921F4">
        <w:rPr>
          <w:rFonts w:ascii="Times New Roman" w:hAnsi="Times New Roman"/>
        </w:rPr>
        <w:t xml:space="preserve"> accudirli</w:t>
      </w:r>
      <w:r w:rsidRPr="00C921F4">
        <w:rPr>
          <w:rFonts w:ascii="Times New Roman" w:hAnsi="Times New Roman"/>
        </w:rPr>
        <w:t xml:space="preserve">. </w:t>
      </w:r>
      <w:r w:rsidR="007A02FF" w:rsidRPr="00C921F4">
        <w:rPr>
          <w:rFonts w:ascii="Times New Roman" w:hAnsi="Times New Roman"/>
        </w:rPr>
        <w:t>Da un lato è necessario a</w:t>
      </w:r>
      <w:r w:rsidR="000022EC" w:rsidRPr="00C921F4">
        <w:rPr>
          <w:rFonts w:ascii="Times New Roman" w:hAnsi="Times New Roman"/>
          <w:color w:val="000000" w:themeColor="text1"/>
        </w:rPr>
        <w:t>ssicurare i mezzi necessari per una vita dignitosa a chi rientra in Iraq e Siria e a chi è rifugiato nei paesi limitrofi, come Libano e Giordania</w:t>
      </w:r>
      <w:r w:rsidR="00B454DD" w:rsidRPr="00C921F4">
        <w:rPr>
          <w:rFonts w:ascii="Times New Roman" w:hAnsi="Times New Roman"/>
          <w:color w:val="000000" w:themeColor="text1"/>
        </w:rPr>
        <w:t xml:space="preserve">. Dall’altro lato si deve provvedere anche a favorire l’attività culturale, spirituale e psicologica che in qualche modo fanno avvicinare le persone, nonostante le differenze religiose ed etniche. Per provvedere a tutto questo è ovviamente necessaria </w:t>
      </w:r>
      <w:r w:rsidR="000022EC" w:rsidRPr="00C921F4">
        <w:rPr>
          <w:rFonts w:ascii="Times New Roman" w:hAnsi="Times New Roman"/>
          <w:color w:val="000000" w:themeColor="text1"/>
        </w:rPr>
        <w:t xml:space="preserve">la collaborazione di tutte le persone di buona volontà. </w:t>
      </w:r>
    </w:p>
    <w:p w:rsidR="00460A56" w:rsidRPr="00C921F4" w:rsidRDefault="00460A56" w:rsidP="00C921F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60A56" w:rsidRPr="00C921F4" w:rsidRDefault="00460A56" w:rsidP="00C921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C921F4">
        <w:rPr>
          <w:rFonts w:ascii="Times New Roman" w:hAnsi="Times New Roman"/>
          <w:b/>
          <w:color w:val="000000" w:themeColor="text1"/>
        </w:rPr>
        <w:t>Sussidi Ordinari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3821"/>
      </w:tblGrid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Gerusalemme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460A56" w:rsidRPr="00C921F4">
              <w:rPr>
                <w:rFonts w:ascii="Times New Roman" w:hAnsi="Times New Roman"/>
              </w:rPr>
              <w:t>318.000,00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Giordania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157A9D" w:rsidRPr="00C921F4">
              <w:rPr>
                <w:rFonts w:ascii="Times New Roman" w:hAnsi="Times New Roman"/>
              </w:rPr>
              <w:t>25</w:t>
            </w:r>
            <w:r w:rsidRPr="00C921F4">
              <w:rPr>
                <w:rFonts w:ascii="Times New Roman" w:hAnsi="Times New Roman"/>
              </w:rPr>
              <w:t xml:space="preserve">.000,00 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Iraq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460A56" w:rsidRPr="00C921F4">
              <w:rPr>
                <w:rFonts w:ascii="Times New Roman" w:hAnsi="Times New Roman"/>
              </w:rPr>
              <w:t>122.000,00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Libano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157A9D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US$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Pr="00C921F4">
              <w:rPr>
                <w:rFonts w:ascii="Times New Roman" w:hAnsi="Times New Roman"/>
              </w:rPr>
              <w:t xml:space="preserve"> </w:t>
            </w:r>
            <w:r w:rsidR="001C152F" w:rsidRPr="00C921F4">
              <w:rPr>
                <w:rFonts w:ascii="Times New Roman" w:hAnsi="Times New Roman"/>
              </w:rPr>
              <w:t>20</w:t>
            </w:r>
            <w:r w:rsidRPr="00C921F4">
              <w:rPr>
                <w:rFonts w:ascii="Times New Roman" w:hAnsi="Times New Roman"/>
              </w:rPr>
              <w:t>8</w:t>
            </w:r>
            <w:r w:rsidR="000022EC" w:rsidRPr="00C921F4">
              <w:rPr>
                <w:rFonts w:ascii="Times New Roman" w:hAnsi="Times New Roman"/>
              </w:rPr>
              <w:t>.000,00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Turchia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157A9D" w:rsidRPr="00C921F4">
              <w:rPr>
                <w:rFonts w:ascii="Times New Roman" w:hAnsi="Times New Roman"/>
              </w:rPr>
              <w:t>1</w:t>
            </w:r>
            <w:r w:rsidR="00460A56" w:rsidRPr="00C921F4">
              <w:rPr>
                <w:rFonts w:ascii="Times New Roman" w:hAnsi="Times New Roman"/>
              </w:rPr>
              <w:t>30</w:t>
            </w:r>
            <w:r w:rsidRPr="00C921F4">
              <w:rPr>
                <w:rFonts w:ascii="Times New Roman" w:hAnsi="Times New Roman"/>
              </w:rPr>
              <w:t>.</w:t>
            </w:r>
            <w:r w:rsidR="001C152F" w:rsidRPr="00C921F4">
              <w:rPr>
                <w:rFonts w:ascii="Times New Roman" w:hAnsi="Times New Roman"/>
              </w:rPr>
              <w:t>000</w:t>
            </w:r>
            <w:r w:rsidRPr="00C921F4">
              <w:rPr>
                <w:rFonts w:ascii="Times New Roman" w:hAnsi="Times New Roman"/>
              </w:rPr>
              <w:t>,00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Siria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460A56" w:rsidRPr="00C921F4">
              <w:rPr>
                <w:rFonts w:ascii="Times New Roman" w:hAnsi="Times New Roman"/>
              </w:rPr>
              <w:t>283</w:t>
            </w:r>
            <w:r w:rsidRPr="00C921F4">
              <w:rPr>
                <w:rFonts w:ascii="Times New Roman" w:hAnsi="Times New Roman"/>
              </w:rPr>
              <w:t>.</w:t>
            </w:r>
            <w:r w:rsidR="00460A56" w:rsidRPr="00C921F4">
              <w:rPr>
                <w:rFonts w:ascii="Times New Roman" w:hAnsi="Times New Roman"/>
              </w:rPr>
              <w:t>0</w:t>
            </w:r>
            <w:r w:rsidRPr="00C921F4">
              <w:rPr>
                <w:rFonts w:ascii="Times New Roman" w:hAnsi="Times New Roman"/>
              </w:rPr>
              <w:t>00,00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Iran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1C152F" w:rsidRPr="00C921F4">
              <w:rPr>
                <w:rFonts w:ascii="Times New Roman" w:hAnsi="Times New Roman"/>
              </w:rPr>
              <w:t>35</w:t>
            </w:r>
            <w:r w:rsidRPr="00C921F4">
              <w:rPr>
                <w:rFonts w:ascii="Times New Roman" w:hAnsi="Times New Roman"/>
              </w:rPr>
              <w:t>.000,00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Egitto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460A56" w:rsidRPr="00C921F4">
              <w:rPr>
                <w:rFonts w:ascii="Times New Roman" w:hAnsi="Times New Roman"/>
              </w:rPr>
              <w:t>176</w:t>
            </w:r>
            <w:r w:rsidRPr="00C921F4">
              <w:rPr>
                <w:rFonts w:ascii="Times New Roman" w:hAnsi="Times New Roman"/>
              </w:rPr>
              <w:t>.</w:t>
            </w:r>
            <w:r w:rsidR="00460A56" w:rsidRPr="00C921F4">
              <w:rPr>
                <w:rFonts w:ascii="Times New Roman" w:hAnsi="Times New Roman"/>
              </w:rPr>
              <w:t>000</w:t>
            </w:r>
            <w:r w:rsidRPr="00C921F4">
              <w:rPr>
                <w:rFonts w:ascii="Times New Roman" w:hAnsi="Times New Roman"/>
              </w:rPr>
              <w:t>,</w:t>
            </w:r>
            <w:r w:rsidR="00460A56" w:rsidRPr="00C921F4">
              <w:rPr>
                <w:rFonts w:ascii="Times New Roman" w:hAnsi="Times New Roman"/>
              </w:rPr>
              <w:t>00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Etiopia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="00460A56" w:rsidRPr="00C921F4">
              <w:rPr>
                <w:rFonts w:ascii="Times New Roman" w:hAnsi="Times New Roman"/>
              </w:rPr>
              <w:t>160</w:t>
            </w:r>
            <w:r w:rsidRPr="00C921F4">
              <w:rPr>
                <w:rFonts w:ascii="Times New Roman" w:hAnsi="Times New Roman"/>
              </w:rPr>
              <w:t xml:space="preserve">.000,00 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Eritrea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</w:t>
            </w:r>
            <w:r w:rsidR="00747484" w:rsidRPr="00C921F4">
              <w:rPr>
                <w:rFonts w:ascii="Times New Roman" w:hAnsi="Times New Roman"/>
              </w:rPr>
              <w:t xml:space="preserve"> </w:t>
            </w:r>
            <w:r w:rsidRPr="00C921F4">
              <w:rPr>
                <w:rFonts w:ascii="Times New Roman" w:hAnsi="Times New Roman"/>
              </w:rPr>
              <w:t>1</w:t>
            </w:r>
            <w:r w:rsidR="00157A9D" w:rsidRPr="00C921F4">
              <w:rPr>
                <w:rFonts w:ascii="Times New Roman" w:hAnsi="Times New Roman"/>
              </w:rPr>
              <w:t>6</w:t>
            </w:r>
            <w:r w:rsidRPr="00C921F4">
              <w:rPr>
                <w:rFonts w:ascii="Times New Roman" w:hAnsi="Times New Roman"/>
              </w:rPr>
              <w:t xml:space="preserve">8.000,00 </w:t>
            </w:r>
          </w:p>
        </w:tc>
      </w:tr>
      <w:tr w:rsidR="000022EC" w:rsidRPr="00C921F4" w:rsidTr="000022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0022EC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21F4">
              <w:rPr>
                <w:rFonts w:ascii="Times New Roman" w:hAnsi="Times New Roman"/>
                <w:b/>
              </w:rPr>
              <w:t>Totale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EC" w:rsidRPr="00C921F4" w:rsidRDefault="00157A9D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21F4">
              <w:rPr>
                <w:rFonts w:ascii="Times New Roman" w:hAnsi="Times New Roman"/>
                <w:b/>
              </w:rPr>
              <w:t xml:space="preserve">US$ </w:t>
            </w:r>
            <w:r w:rsidR="00460A56" w:rsidRPr="00C921F4">
              <w:rPr>
                <w:rFonts w:ascii="Times New Roman" w:hAnsi="Times New Roman"/>
                <w:b/>
              </w:rPr>
              <w:t>1.625.000,00</w:t>
            </w:r>
          </w:p>
        </w:tc>
      </w:tr>
    </w:tbl>
    <w:p w:rsidR="00656F04" w:rsidRPr="00C921F4" w:rsidRDefault="00656F04" w:rsidP="00C921F4">
      <w:pPr>
        <w:spacing w:line="240" w:lineRule="auto"/>
        <w:rPr>
          <w:rFonts w:ascii="Times New Roman" w:hAnsi="Times New Roman"/>
          <w:b/>
          <w:u w:val="single"/>
        </w:rPr>
      </w:pPr>
    </w:p>
    <w:p w:rsidR="00460A56" w:rsidRPr="00C921F4" w:rsidRDefault="00460A56" w:rsidP="00C921F4">
      <w:pPr>
        <w:spacing w:line="240" w:lineRule="auto"/>
        <w:rPr>
          <w:rFonts w:ascii="Times New Roman" w:hAnsi="Times New Roman"/>
          <w:b/>
          <w:u w:val="single"/>
        </w:rPr>
      </w:pPr>
      <w:r w:rsidRPr="00C921F4">
        <w:rPr>
          <w:rFonts w:ascii="Times New Roman" w:hAnsi="Times New Roman"/>
          <w:b/>
          <w:u w:val="single"/>
        </w:rPr>
        <w:t>Sussidi straordinari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3821"/>
      </w:tblGrid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Gerusalemme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US$   51.000,00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Giordania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656F04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------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Iraq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US$   707,00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Libano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656F04" w:rsidRPr="00C921F4">
              <w:rPr>
                <w:rFonts w:ascii="Times New Roman" w:hAnsi="Times New Roman"/>
              </w:rPr>
              <w:t xml:space="preserve"> 8.000,00 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Turchia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656F04" w:rsidRPr="00C921F4">
              <w:rPr>
                <w:rFonts w:ascii="Times New Roman" w:hAnsi="Times New Roman"/>
              </w:rPr>
              <w:t xml:space="preserve"> 115.000,00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Siria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656F04" w:rsidRPr="00C921F4">
              <w:rPr>
                <w:rFonts w:ascii="Times New Roman" w:hAnsi="Times New Roman"/>
              </w:rPr>
              <w:t xml:space="preserve"> 40.000,00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Iran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656F04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----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Egitto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656F04" w:rsidRPr="00C921F4">
              <w:rPr>
                <w:rFonts w:ascii="Times New Roman" w:hAnsi="Times New Roman"/>
              </w:rPr>
              <w:t xml:space="preserve"> 25.000.00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Etiopia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656F04" w:rsidRPr="00C921F4">
              <w:rPr>
                <w:rFonts w:ascii="Times New Roman" w:hAnsi="Times New Roman"/>
              </w:rPr>
              <w:t xml:space="preserve"> 20.215,00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>Eritrea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</w:rPr>
            </w:pPr>
            <w:r w:rsidRPr="00C921F4">
              <w:rPr>
                <w:rFonts w:ascii="Times New Roman" w:hAnsi="Times New Roman"/>
              </w:rPr>
              <w:t xml:space="preserve">US$  </w:t>
            </w:r>
            <w:r w:rsidR="00656F04" w:rsidRPr="00C921F4">
              <w:rPr>
                <w:rFonts w:ascii="Times New Roman" w:hAnsi="Times New Roman"/>
              </w:rPr>
              <w:t xml:space="preserve"> 20.000,00</w:t>
            </w:r>
          </w:p>
        </w:tc>
      </w:tr>
      <w:tr w:rsidR="00460A56" w:rsidRPr="00C921F4" w:rsidTr="002340A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656F04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21F4">
              <w:rPr>
                <w:rFonts w:ascii="Times New Roman" w:hAnsi="Times New Roman"/>
                <w:b/>
              </w:rPr>
              <w:t>T</w:t>
            </w:r>
            <w:r w:rsidR="00460A56" w:rsidRPr="00C921F4">
              <w:rPr>
                <w:rFonts w:ascii="Times New Roman" w:hAnsi="Times New Roman"/>
                <w:b/>
              </w:rPr>
              <w:t>otale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6" w:rsidRPr="00C921F4" w:rsidRDefault="00460A56" w:rsidP="00C92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21F4">
              <w:rPr>
                <w:rFonts w:ascii="Times New Roman" w:hAnsi="Times New Roman"/>
                <w:b/>
              </w:rPr>
              <w:t xml:space="preserve">US$ </w:t>
            </w:r>
            <w:r w:rsidR="00656F04" w:rsidRPr="00C921F4">
              <w:rPr>
                <w:rFonts w:ascii="Times New Roman" w:hAnsi="Times New Roman"/>
                <w:b/>
              </w:rPr>
              <w:t xml:space="preserve"> 279.922,00</w:t>
            </w:r>
          </w:p>
        </w:tc>
      </w:tr>
    </w:tbl>
    <w:p w:rsidR="005A4B15" w:rsidRPr="00E875B3" w:rsidRDefault="005A4B15" w:rsidP="000A2BC0">
      <w:pPr>
        <w:spacing w:line="240" w:lineRule="auto"/>
        <w:rPr>
          <w:sz w:val="28"/>
          <w:szCs w:val="28"/>
        </w:rPr>
      </w:pPr>
    </w:p>
    <w:sectPr w:rsidR="005A4B15" w:rsidRPr="00E8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EC"/>
    <w:rsid w:val="00001C57"/>
    <w:rsid w:val="000022EC"/>
    <w:rsid w:val="000539D8"/>
    <w:rsid w:val="00095D74"/>
    <w:rsid w:val="000A2BC0"/>
    <w:rsid w:val="0015588E"/>
    <w:rsid w:val="00157A9D"/>
    <w:rsid w:val="001C152F"/>
    <w:rsid w:val="001D50A0"/>
    <w:rsid w:val="00211732"/>
    <w:rsid w:val="002B3F9F"/>
    <w:rsid w:val="0034222F"/>
    <w:rsid w:val="00362C7F"/>
    <w:rsid w:val="0042673C"/>
    <w:rsid w:val="004562E3"/>
    <w:rsid w:val="00460974"/>
    <w:rsid w:val="00460A56"/>
    <w:rsid w:val="00477488"/>
    <w:rsid w:val="004F6C2F"/>
    <w:rsid w:val="00522F86"/>
    <w:rsid w:val="005A4B15"/>
    <w:rsid w:val="005F4D0A"/>
    <w:rsid w:val="00656F04"/>
    <w:rsid w:val="00662231"/>
    <w:rsid w:val="006C7C22"/>
    <w:rsid w:val="00747484"/>
    <w:rsid w:val="00775B70"/>
    <w:rsid w:val="00793861"/>
    <w:rsid w:val="007A02FF"/>
    <w:rsid w:val="008A23CA"/>
    <w:rsid w:val="009623AE"/>
    <w:rsid w:val="009924F9"/>
    <w:rsid w:val="00A72A2C"/>
    <w:rsid w:val="00AB52C1"/>
    <w:rsid w:val="00AE1E36"/>
    <w:rsid w:val="00B454DD"/>
    <w:rsid w:val="00B575DE"/>
    <w:rsid w:val="00B86415"/>
    <w:rsid w:val="00BF32CB"/>
    <w:rsid w:val="00C64FAF"/>
    <w:rsid w:val="00C921F4"/>
    <w:rsid w:val="00CA4128"/>
    <w:rsid w:val="00D475EE"/>
    <w:rsid w:val="00D703BD"/>
    <w:rsid w:val="00DA286B"/>
    <w:rsid w:val="00E875B3"/>
    <w:rsid w:val="00ED4495"/>
    <w:rsid w:val="00F87F6E"/>
    <w:rsid w:val="00FB56EE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5C00"/>
  <w15:chartTrackingRefBased/>
  <w15:docId w15:val="{758D3BB3-95C7-491C-B4E6-8FF09E9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2E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Cherupuzhathottathil Kuriakose</dc:creator>
  <cp:keywords/>
  <dc:description/>
  <cp:lastModifiedBy>giuseppina lombardo</cp:lastModifiedBy>
  <cp:revision>4</cp:revision>
  <cp:lastPrinted>2023-03-16T10:55:00Z</cp:lastPrinted>
  <dcterms:created xsi:type="dcterms:W3CDTF">2023-03-16T10:07:00Z</dcterms:created>
  <dcterms:modified xsi:type="dcterms:W3CDTF">2023-03-20T12:37:00Z</dcterms:modified>
</cp:coreProperties>
</file>